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F4E79"/>
          <w:sz w:val="48"/>
          <w:szCs w:val="48"/>
        </w:rPr>
        <w:t xml:space="preserve">Delore Care</w:t>
      </w:r>
    </w:p>
    <w:p>
      <w:pPr>
        <w:spacing w:after="200"/>
      </w:pPr>
      <w:r>
        <w:rPr>
          <w:color w:val="404040"/>
          <w:sz w:val="32"/>
          <w:szCs w:val="32"/>
        </w:rPr>
        <w:t xml:space="preserve">Feature inventory and capability map</w:t>
      </w:r>
    </w:p>
    <w:p>
      <w:pPr>
        <w:pBdr>
          <w:bottom w:val="single" w:color="1F4E79" w:sz="6" w:space="4"/>
        </w:pBdr>
        <w:spacing w:after="360"/>
      </w:pPr>
      <w:r>
        <w:rPr>
          <w:i/>
          <w:iCs/>
          <w:color w:val="808080"/>
          <w:sz w:val="18"/>
          <w:szCs w:val="18"/>
        </w:rPr>
        <w:t xml:space="preserve">Working document · v1.2 · 9 May 2026</w:t>
      </w:r>
    </w:p>
    <w:p>
      <w:pPr>
        <w:pStyle w:val="Heading2"/>
        <w:spacing w:after="140" w:before="280"/>
      </w:pPr>
      <w:r>
        <w:rPr>
          <w:b/>
          <w:bCs/>
          <w:color w:val="1F4E79"/>
          <w:sz w:val="28"/>
          <w:szCs w:val="28"/>
        </w:rPr>
        <w:t xml:space="preserve">How to use this document</w:t>
      </w:r>
    </w:p>
    <w:p>
      <w:pPr>
        <w:spacing w:after="120"/>
      </w:pPr>
      <w:r>
        <w:rPr>
          <w:sz w:val="20"/>
          <w:szCs w:val="20"/>
        </w:rPr>
        <w:t xml:space="preserve">This document does two things. Part A is a per-system feature inventory: for each platform, the features it offers and what we believe is on your plan, ready for you to mark what you actually use. Part B is the more strategic half: it maps each business function across all your systems in one view, so duplications, gaps, and source-of-truth questions become visible without anyone having to hunt for them. Part C is open-ended; some of it can wait for the shadowing day if it's easier.</w:t>
      </w:r>
    </w:p>
    <w:p>
      <w:pPr>
        <w:spacing w:after="120"/>
      </w:pPr>
      <w:r>
        <w:rPr>
          <w:sz w:val="20"/>
          <w:szCs w:val="20"/>
        </w:rPr>
        <w:t xml:space="preserve">Skim Part A first. For each system, mark a friction score where it applies, and add anything we missed. Part B is where the real value is. That's the part that drives the consolidation conversation. Part C is qualitative.</w:t>
      </w:r>
    </w:p>
    <w:p>
      <w:pPr>
        <w:spacing w:after="120"/>
      </w:pPr>
      <w:r>
        <w:rPr>
          <w:sz w:val="20"/>
          <w:szCs w:val="20"/>
        </w:rPr>
        <w:t xml:space="preserve">No rush. Different people are well-placed for different sections. Ibukun for HR, IT, and Microsoft 365. Joseph and the finance team for QuickBooks and Employment Hero. Oye for Care Tutor and Health and Safety Group. Kike for the bigger picture on Part B (capability ownership) and Part C (what hurts most). None of this needs to be perfect on first pass.</w:t>
      </w:r>
    </w:p>
    <w:p>
      <w:pPr>
        <w:spacing w:after="120"/>
      </w:pPr>
      <w:r>
        <w:rPr>
          <w:i/>
          <w:iCs/>
          <w:color w:val="555555"/>
          <w:sz w:val="20"/>
          <w:szCs w:val="20"/>
        </w:rPr>
        <w:t xml:space="preserve">A few cells in Part A are pre-filled where you confirmed the answer directly on our 8 May call. Please correct any of those that are wrong.</w:t>
      </w:r>
    </w:p>
    <w:p>
      <w:pPr>
        <w:spacing w:after="120" w:before="200"/>
      </w:pPr>
      <w:r>
        <w:rPr>
          <w:b/>
          <w:bCs/>
          <w:sz w:val="22"/>
          <w:szCs w:val="22"/>
        </w:rPr>
        <w:t xml:space="preserve">The friction scale</w:t>
      </w:r>
    </w:p>
    <w:p>
      <w:pPr>
        <w:spacing w:after="120"/>
      </w:pPr>
      <w:r>
        <w:rPr>
          <w:sz w:val="20"/>
          <w:szCs w:val="20"/>
        </w:rPr>
        <w:t xml:space="preserve">Used throughout. A simple 0–5 score that turns the inventory into a prioritisation tool.</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400"/>
        <w:gridCol w:w="2400"/>
        <w:gridCol w:w="2400"/>
        <w:gridCol w:w="3910"/>
      </w:tblGrid>
      <w:tr>
        <w:trPr>
          <w:tblHeader/>
        </w:trPr>
        <w:tc>
          <w:tcPr>
            <w:tcW w:type="dxa" w:w="18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0</w:t>
            </w:r>
          </w:p>
        </w:tc>
        <w:tc>
          <w:tcPr>
            <w:tcW w:type="dxa" w:w="2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1</w:t>
            </w:r>
          </w:p>
        </w:tc>
        <w:tc>
          <w:tcPr>
            <w:tcW w:type="dxa" w:w="24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2</w:t>
            </w:r>
          </w:p>
        </w:tc>
        <w:tc>
          <w:tcPr>
            <w:tcW w:type="dxa" w:w="24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3</w:t>
            </w:r>
          </w:p>
        </w:tc>
        <w:tc>
          <w:tcPr>
            <w:tcW w:type="dxa" w:w="24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4</w:t>
            </w:r>
          </w:p>
        </w:tc>
        <w:tc>
          <w:tcPr>
            <w:tcW w:type="dxa" w:w="39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5</w:t>
            </w:r>
          </w:p>
        </w:tc>
      </w:tr>
      <w:tr>
        <w:tc>
          <w:tcPr>
            <w:tcW w:type="dxa" w:w="18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jc w:val="center"/>
            </w:pPr>
            <w:r>
              <w:rPr>
                <w:b/>
                <w:bCs/>
                <w:sz w:val="18"/>
                <w:szCs w:val="18"/>
              </w:rPr>
              <w:t xml:space="preserve">Not used</w:t>
            </w:r>
          </w:p>
        </w:tc>
        <w:tc>
          <w:tcPr>
            <w:tcW w:type="dxa" w:w="2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jc w:val="center"/>
            </w:pPr>
            <w:r>
              <w:rPr>
                <w:b/>
                <w:bCs/>
                <w:sz w:val="18"/>
                <w:szCs w:val="18"/>
              </w:rPr>
              <w:t xml:space="preserve">Works fine</w:t>
            </w:r>
          </w:p>
        </w:tc>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jc w:val="center"/>
            </w:pPr>
            <w:r>
              <w:rPr>
                <w:b/>
                <w:bCs/>
                <w:sz w:val="18"/>
                <w:szCs w:val="18"/>
              </w:rPr>
              <w:t xml:space="preserve">Occasional friction</w:t>
            </w:r>
          </w:p>
        </w:tc>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jc w:val="center"/>
            </w:pPr>
            <w:r>
              <w:rPr>
                <w:b/>
                <w:bCs/>
                <w:sz w:val="18"/>
                <w:szCs w:val="18"/>
              </w:rPr>
              <w:t xml:space="preserve">Regular friction</w:t>
            </w:r>
          </w:p>
        </w:tc>
        <w:tc>
          <w:tcPr>
            <w:tcW w:type="dxa" w:w="24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jc w:val="center"/>
            </w:pPr>
            <w:r>
              <w:rPr>
                <w:b/>
                <w:bCs/>
                <w:sz w:val="18"/>
                <w:szCs w:val="18"/>
              </w:rPr>
              <w:t xml:space="preserve">Weekly or daily pain</w:t>
            </w:r>
          </w:p>
        </w:tc>
        <w:tc>
          <w:tcPr>
            <w:tcW w:type="dxa" w:w="39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jc w:val="center"/>
            </w:pPr>
            <w:r>
              <w:rPr>
                <w:b/>
                <w:bCs/>
                <w:sz w:val="18"/>
                <w:szCs w:val="18"/>
              </w:rPr>
              <w:t xml:space="preserve">Showstopper</w:t>
            </w:r>
          </w:p>
        </w:tc>
      </w:tr>
    </w:tbl>
    <w:p>
      <w:pPr>
        <w:pageBreakBefore/>
      </w:pPr>
      <w:r>
        <w:t xml:space="preserve"/>
      </w:r>
    </w:p>
    <w:p>
      <w:pPr>
        <w:pStyle w:val="Heading2"/>
        <w:spacing w:after="140" w:before="280"/>
      </w:pPr>
      <w:r>
        <w:rPr>
          <w:b/>
          <w:bCs/>
          <w:color w:val="1F4E79"/>
          <w:sz w:val="28"/>
          <w:szCs w:val="28"/>
        </w:rPr>
        <w:t xml:space="preserve">Part A — Per-system feature inventory</w:t>
      </w:r>
    </w:p>
    <w:p>
      <w:pPr>
        <w:spacing w:after="120"/>
      </w:pPr>
      <w:r>
        <w:rPr>
          <w:sz w:val="20"/>
          <w:szCs w:val="20"/>
        </w:rPr>
        <w:t xml:space="preserve">For each system, mark friction (0–5) on the rows that apply and add anything we missed. Where the "Available on your plan?" column says Confirmed unavailable or Likely unavailable, we have based that on what we discussed on the call or on public documentation. Correct us where you know better.</w:t>
      </w:r>
    </w:p>
    <w:p>
      <w:pPr>
        <w:pStyle w:val="Heading3"/>
        <w:spacing w:after="100" w:before="200"/>
      </w:pPr>
      <w:r>
        <w:rPr>
          <w:b/>
          <w:bCs/>
          <w:color w:val="1F4E79"/>
          <w:sz w:val="22"/>
          <w:szCs w:val="22"/>
        </w:rPr>
        <w:t xml:space="preserve">A.1 — Nourish (formerly CarePlanner)</w:t>
      </w:r>
    </w:p>
    <w:p>
      <w:pPr>
        <w:spacing w:after="200"/>
      </w:pPr>
      <w:r>
        <w:rPr>
          <w:sz w:val="20"/>
          <w:szCs w:val="20"/>
        </w:rPr>
        <w:t xml:space="preserve">Used at Delore Care for: </w:t>
      </w:r>
      <w:r>
        <w:rPr>
          <w:i/>
          <w:iCs/>
          <w:sz w:val="20"/>
          <w:szCs w:val="20"/>
        </w:rPr>
        <w:t xml:space="preserve">rostering and care planning, industry standard.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Rostering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Schedule visits, allocate carers, manage rotas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 Nourish is your rostering standard.</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Care planning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Per-service-user care plans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you tried it and switched to Birdie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Care notes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In-visit notes recorded by carers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Medication recording (MAR)</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MAR chart at point of care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Risk assessments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Service user risk profiling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Training matrix</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Where each carer's certificates are stored</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this is your training matrix of record.</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Time sheets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Carer hours recording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you use Nourish for time sheets, then CSV-upload to Employment Hero.</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Invoicing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Invoice generation for service users / commissioners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you do not use it</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Reports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Standard rostering / care delivery reports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Mobile app for carers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Field-side care delivery interface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 data export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Programmatic access to Nourish data</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Plan-tier dependent, to be confirmed</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We need to know your package and whether API access has been requested or enabled.</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Native Birdie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Two-way sync with Birdie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You are using this</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 more flows from Nourish to Birdie than the other way.</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A.2 — Birdie</w:t>
      </w:r>
    </w:p>
    <w:p>
      <w:pPr>
        <w:spacing w:after="200"/>
      </w:pPr>
      <w:r>
        <w:rPr>
          <w:sz w:val="20"/>
          <w:szCs w:val="20"/>
        </w:rPr>
        <w:t xml:space="preserve">Used at Delore Care for: </w:t>
      </w:r>
      <w:r>
        <w:rPr>
          <w:i/>
          <w:iCs/>
          <w:sz w:val="20"/>
          <w:szCs w:val="20"/>
        </w:rPr>
        <w:t xml:space="preserve">electronic call monitoring, and care planning UI in daily use (you preferred Birdie's care planning over Nourish's).</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Visit check-in / check-out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Geo-verified visit start/end</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Care planning UI</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Where you actually plan care, per service user</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this is your primary</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Care notes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Carer notes during a visit</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Medication tracking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Medication adherence at point of care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Family portal</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Care notes visible to next-of-kin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Kike mentioned families currently log in to Birdie for care 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Rostering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Birdie's own rota module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you do not use it</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Nourish is the rostering standard for you.</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Invoicing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Birdie's invoicing module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Reports and dashboards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Standard Birdie reporting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Mobile app for carers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Field-side check-in app</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Native Nourish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Bidirectional sync</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You are using this</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The most consequential thing we still need to understand. What syncs and what doesn't?</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access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Programmatic access via Birdie's commercial team</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Vendor-gated, not self-service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We would need a vendor conversation to scope.</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A.3 — Employment Hero</w:t>
      </w:r>
    </w:p>
    <w:p>
      <w:pPr>
        <w:spacing w:after="200"/>
      </w:pPr>
      <w:r>
        <w:rPr>
          <w:sz w:val="20"/>
          <w:szCs w:val="20"/>
        </w:rPr>
        <w:t xml:space="preserve">Used at Delore Care for: </w:t>
      </w:r>
      <w:r>
        <w:rPr>
          <w:i/>
          <w:iCs/>
          <w:sz w:val="20"/>
          <w:szCs w:val="20"/>
        </w:rPr>
        <w:t xml:space="preserve">HR records and payroll. You confirmed on the call that you are on the tier just below Platinum.</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Employee records (HR master)</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Personal details, contract data, employment history</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Contracts and digital signatures (staff)</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Generate and sign employment contracts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limited to staff. Clients use PandaDoc.</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Onboarding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New starter workflow</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Payroll</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UK payroll engine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HMRC submissions / RTI</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Real-time information to HMRC</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data does not flow back to QuickBooks today, friction point.</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Pension auto-enrolment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Workplace pension scheme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Time sheets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Hours recording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you do not use it</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you use Nourish for time sheets, manual CSV upload.</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Annual leave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Leave requests, approvals, balance tracking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Performance management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Reviews, goals, feedback</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Likely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Recruitment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Vacancies, candidates, hiring pipeline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not in use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you have access but have not started using it.</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Built-in DBS check feature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DBS submission inside Employment Hero</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not in use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you use Checks Direct instead. Worth comparing for consolidation.</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Document storage (per employee)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Employee files and certificates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Announcements feature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Internal comms / news for staff</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Ibukun raised this as possibly substituting for an intranet.</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Org chart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Visual reporting structure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QuickBooks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Native sync to QuickBooks Online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currently broken</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Broken</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worked once, disconnected. Reconnection is a quick win.</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access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OAuth 2.0 REST API</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unavailable on your tier (Platinum and above only)</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A.4 — QuickBooks Online</w:t>
      </w:r>
    </w:p>
    <w:p>
      <w:pPr>
        <w:spacing w:after="200"/>
      </w:pPr>
      <w:r>
        <w:rPr>
          <w:sz w:val="20"/>
          <w:szCs w:val="20"/>
        </w:rPr>
        <w:t xml:space="preserve">Used at Delore Care for: </w:t>
      </w:r>
      <w:r>
        <w:rPr>
          <w:i/>
          <w:iCs/>
          <w:sz w:val="20"/>
          <w:szCs w:val="20"/>
        </w:rPr>
        <w:t xml:space="preserve">accounts. You confirmed Online (not Desktop) on the call.</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Invoicing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Invoice generation, sending, tracking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you use this for invoicing rather than Nourish or Birdie.</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Bank reconciliation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Match transactions to bank feed</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Bills and supplier payments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Accounts payable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Expenses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Staff expense submission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Payroll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Receive payroll journals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Broken</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data not flowing from Employment Hero today, friction.</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Time tracking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Time-on-projects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Probably not in use given Nourish has time sheets.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VAT and Making Tax Digital</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UK VAT submission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Multi-currency</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Foreign currency invoicing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Reports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P&amp;L, balance sheet, cash flow</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access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Programmatic access via OAuth 2.0</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available on QuickBooks Online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This is the most mature API in your stack.</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Apps marketplace integrations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Native connectors to other tools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Employment Hero connector exists, currently broken at your end.</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PandaDoc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Native PandaDoc to QuickBooks sync</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via PandaDoc's QBO connector</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Worth confirming whether you have this enabled. Could remove the manual PandaDoc to QBO step.</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A.5 — Care Tutor</w:t>
      </w:r>
    </w:p>
    <w:p>
      <w:pPr>
        <w:spacing w:after="120"/>
      </w:pPr>
      <w:r>
        <w:rPr>
          <w:sz w:val="20"/>
          <w:szCs w:val="20"/>
        </w:rPr>
        <w:t xml:space="preserve">Used at Delore Care for: </w:t>
      </w:r>
      <w:r>
        <w:rPr>
          <w:i/>
          <w:iCs/>
          <w:sz w:val="20"/>
          <w:szCs w:val="20"/>
        </w:rPr>
        <w:t xml:space="preserve">mandatory training delivery. You confirmed on the call that you are on the Foundation tier (lowest of four).</w:t>
      </w:r>
    </w:p>
    <w:p>
      <w:pPr>
        <w:spacing w:after="200"/>
      </w:pPr>
      <w:r>
        <w:rPr>
          <w:i/>
          <w:iCs/>
          <w:color w:val="555555"/>
          <w:sz w:val="18"/>
          <w:szCs w:val="18"/>
        </w:rPr>
        <w:t xml:space="preserve">Contract context: the renewal is approaching. The Foundation-to-Pathway upgrade question is the natural moment to ask Care Tutor whether their API and HR integration land on a tier that makes sense for you.</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Mandatory training courses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Standard care-sector e-learning library</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Custom courses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Author your own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on higher tiers</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Certificates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Issued on course completion, per learner</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certificates are downloaded by hand and uploaded to Nourish.</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Learner enrolment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Add staff to courses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Reports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Completion rates, expiry tracking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Auto-enrolment to course groups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Bulk-enrol new starters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on Pathway tier (upgrade)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you asked for a feature, were told it was upgrade-only.</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Learning paths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Sequenced course bundles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on Pathway tier (upgrade)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HR platform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Sync learners and completions to your HR</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on Pathway tier (upgrade)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Worth raising with Care Tutor when you discuss the renewal.</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access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Programmatic learner / course management</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on Pathway tier (upgrade)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Oye to ask Care Tutor whether their API is part of Pathway.</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A.6 — Checks Direct</w:t>
      </w:r>
    </w:p>
    <w:p>
      <w:pPr>
        <w:spacing w:after="120"/>
      </w:pPr>
      <w:r>
        <w:rPr>
          <w:sz w:val="20"/>
          <w:szCs w:val="20"/>
        </w:rPr>
        <w:t xml:space="preserve">Used at Delore Care for: </w:t>
      </w:r>
      <w:r>
        <w:rPr>
          <w:i/>
          <w:iCs/>
          <w:sz w:val="20"/>
          <w:szCs w:val="20"/>
        </w:rPr>
        <w:t xml:space="preserve">DBS and right-to-work checks.</w:t>
      </w:r>
    </w:p>
    <w:p>
      <w:pPr>
        <w:spacing w:after="200"/>
      </w:pPr>
      <w:r>
        <w:rPr>
          <w:i/>
          <w:iCs/>
          <w:color w:val="555555"/>
          <w:sz w:val="18"/>
          <w:szCs w:val="18"/>
        </w:rPr>
        <w:t xml:space="preserve">Open question: Employment Hero has its own DBS check feature (see A.3). If their offering is comparable, there is a consolidation conversation here. Worth a side-by-side comparison once we understand both sides.</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Enhanced DBS application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Submit and track enhanced disclosures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Standard DBS application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Submit and track standard disclosures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Right-to-work checks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UK RTW verification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Update service tracking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Subscription-style ongoing monitoring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Bulk processing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Submit multiple at once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Reports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Application status, expiry tracking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access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Programmatic submission and status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Vendor-gated, depends on contract</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We need to know whether your contract includes this.</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A.7 — Microsoft 365 (Business plan)</w:t>
      </w:r>
    </w:p>
    <w:p>
      <w:pPr>
        <w:spacing w:after="120"/>
      </w:pPr>
      <w:r>
        <w:rPr>
          <w:sz w:val="20"/>
          <w:szCs w:val="20"/>
        </w:rPr>
        <w:t xml:space="preserve">Used at Delore Care for: </w:t>
      </w:r>
      <w:r>
        <w:rPr>
          <w:i/>
          <w:iCs/>
          <w:sz w:val="20"/>
          <w:szCs w:val="20"/>
        </w:rPr>
        <w:t xml:space="preserve">office staff productivity, document management, internal comms in transition. You confirmed Business plan on the call (~£20/user/month, office staff only).</w:t>
      </w:r>
    </w:p>
    <w:p>
      <w:pPr>
        <w:spacing w:after="200"/>
      </w:pPr>
      <w:r>
        <w:rPr>
          <w:i/>
          <w:iCs/>
          <w:color w:val="555555"/>
          <w:sz w:val="18"/>
          <w:szCs w:val="18"/>
        </w:rPr>
        <w:t xml:space="preserve">Open question on licensing: for the field staff currently on WhatsApp, the Business plan does not scale per-seat. Microsoft 365 Frontline tiers (F1 at around £2.10, F3 at around £6) are designed for non-desk staff and address the data residency and offboarding concerns that come up around WhatsApp at scale. Worth discussing with your IT lead.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Outlook</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Email, calendar</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Word, Excel, PowerPoint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Productivity suite (desktop and online)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Microsoft Teams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Chat, channels, video calls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Office staff yes; field staff no</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office staff partially adopted, field staff still on WhatsApp.</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SharePoint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Document libraries, sites, intranet platform</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Yes</w:t>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meant to be the document source-of-truth. Auto-routing from other systems is a stated goal.</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OneDrive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Personal cloud storage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Forms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Surveys, simple data capture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Bookings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Online appointment booking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Stream</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Video hosting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Power Automate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Workflow automation across M365 and external systems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This is the integration backbone for SharePoint document routing.</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Power Apps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Low-code custom apps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Yammer / Viva Engage</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Internal social network</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Planner / To Do</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Task management</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SharePoint-based intranet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News, links, internal directories, brand-aligned site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on call: Joseph wanted this for the April brand launch and ran out of time. Kike asked how far away we are from one.</w:t>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A.8 — PandaDoc</w:t>
      </w:r>
    </w:p>
    <w:p>
      <w:pPr>
        <w:spacing w:after="200"/>
      </w:pPr>
      <w:r>
        <w:rPr>
          <w:sz w:val="20"/>
          <w:szCs w:val="20"/>
        </w:rPr>
        <w:t xml:space="preserve">Used at Delore Care for: </w:t>
      </w:r>
      <w:r>
        <w:rPr>
          <w:i/>
          <w:iCs/>
          <w:sz w:val="20"/>
          <w:szCs w:val="20"/>
        </w:rPr>
        <w:t xml:space="preserve">electronic signatures, particularly for service user contracts and invoicing. You confirmed on the call PandaDoc was in place before Employment Hero.</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Document templates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Reusable contract / invoice templates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E-signature workflows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Send for signature, track, complete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Document tracking</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Who opened it, when, signed status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Conditional fields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Dynamic content based on inputs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Likely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Approvals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Internal approval before sending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Likely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Payment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Collect payment alongside signature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Likely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QuickBooks Online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Sync signed invoices to QBO</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 via PandaDoc</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this is currently a manual drag-and-drop. Worth confirming whether the native connector is in place.</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SharePoint integration</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File signed docs into SharePoint folders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Likely available via Power Automate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this is currently a manual drag-and-drop.</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API access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Programmatic document generation and signing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bl>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A.9 — Health and Safety Group</w:t>
      </w:r>
    </w:p>
    <w:p>
      <w:pPr>
        <w:spacing w:after="120"/>
      </w:pPr>
      <w:r>
        <w:rPr>
          <w:sz w:val="20"/>
          <w:szCs w:val="20"/>
        </w:rPr>
        <w:t xml:space="preserve">Used at Delore Care for: </w:t>
      </w:r>
      <w:r>
        <w:rPr>
          <w:i/>
          <w:iCs/>
          <w:sz w:val="20"/>
          <w:szCs w:val="20"/>
        </w:rPr>
        <w:t xml:space="preserve">training (a second platform alongside Care Tutor for specific health and safety courses).</w:t>
      </w:r>
    </w:p>
    <w:p>
      <w:pPr>
        <w:spacing w:after="200"/>
      </w:pPr>
      <w:r>
        <w:rPr>
          <w:i/>
          <w:iCs/>
          <w:color w:val="555555"/>
          <w:sz w:val="18"/>
          <w:szCs w:val="18"/>
        </w:rPr>
        <w:t xml:space="preserve">We have less public information on this platform. Please correct anything below that is wrong.</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3200"/>
        <w:gridCol w:w="3500"/>
        <w:gridCol w:w="2500"/>
        <w:gridCol w:w="1500"/>
        <w:gridCol w:w="1300"/>
        <w:gridCol w:w="3110"/>
      </w:tblGrid>
      <w:tr>
        <w:trPr>
          <w:tblHeader/>
        </w:trPr>
        <w:tc>
          <w:tcPr>
            <w:tcW w:type="dxa" w:w="32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Feature</w:t>
            </w:r>
          </w:p>
        </w:tc>
        <w:tc>
          <w:tcPr>
            <w:tcW w:type="dxa" w:w="3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What it does</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Available on your plan?</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31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Course library</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E-learning courses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Certificates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Issued on completion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same download-and-upload-to-Nourish routine as Care Tutor.</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Learner enrolment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Add staff</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Reports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Completion tracking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Backend account</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Admin interface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Believed available, online only (not an app)</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Confirmed by Ibukun on the call.</w:t>
            </w:r>
          </w:p>
        </w:tc>
      </w:tr>
      <w:tr>
        <w:tc>
          <w:tcPr>
            <w:tcW w:type="dxa" w:w="32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b/>
                <w:bCs/>
                <w:sz w:val="18"/>
                <w:szCs w:val="18"/>
              </w:rPr>
              <w:t xml:space="preserve">Integration with HR platforms</w:t>
            </w:r>
          </w:p>
        </w:tc>
        <w:tc>
          <w:tcPr>
            <w:tcW w:type="dxa" w:w="3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Sync to Employment Hero or similar</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Unknown</w:t>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311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
            </w:r>
          </w:p>
        </w:tc>
      </w:tr>
    </w:tbl>
    <w:p>
      <w:pPr>
        <w:spacing w:after="100" w:before="160"/>
      </w:pPr>
      <w:r>
        <w:rPr>
          <w:b/>
          <w:bCs/>
          <w:sz w:val="20"/>
          <w:szCs w:val="20"/>
        </w:rPr>
        <w:t xml:space="preserve">Open question: </w:t>
      </w:r>
      <w:r>
        <w:rPr>
          <w:sz w:val="20"/>
          <w:szCs w:val="20"/>
        </w:rPr>
        <w:t xml:space="preserve">What courses do you take through Health and Safety Group that you cannot or do not take through Care Tutor? If they are duplicative, this is a consolidation candidate.</w:t>
      </w:r>
    </w:p>
    <w:p>
      <w:pPr>
        <w:spacing w:after="100" w:before="200"/>
      </w:pPr>
      <w:r>
        <w:rPr>
          <w:b/>
          <w:bCs/>
          <w:sz w:val="20"/>
          <w:szCs w:val="20"/>
        </w:rPr>
        <w:t xml:space="preserve">Anything we missed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300"/>
        <w:gridCol w:w="78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Anything we missed (feature)</w:t>
            </w:r>
          </w:p>
        </w:tc>
        <w:tc>
          <w:tcPr>
            <w:tcW w:type="dxa" w:w="1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Use today?</w:t>
            </w:r>
          </w:p>
        </w:tc>
        <w:tc>
          <w:tcPr>
            <w:tcW w:type="dxa" w:w="13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8"/>
                <w:szCs w:val="18"/>
              </w:rPr>
              <w:t xml:space="preserve">Friction (0–5)</w:t>
            </w:r>
          </w:p>
        </w:tc>
        <w:tc>
          <w:tcPr>
            <w:tcW w:type="dxa" w:w="78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Notes</w:t>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5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3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78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A.10 — WhatsApp (current state, in transition)</w:t>
      </w:r>
    </w:p>
    <w:p>
      <w:pPr>
        <w:spacing w:after="200"/>
      </w:pPr>
      <w:r>
        <w:rPr>
          <w:sz w:val="20"/>
          <w:szCs w:val="20"/>
        </w:rPr>
        <w:t xml:space="preserve">Used at Delore Care for: </w:t>
      </w:r>
      <w:r>
        <w:rPr>
          <w:i/>
          <w:iCs/>
          <w:sz w:val="20"/>
          <w:szCs w:val="20"/>
        </w:rPr>
        <w:t xml:space="preserve">field staff communication and office staff group chats. You confirmed on the call you are gradually moving office staff to Teams and considering moving field staff too.</w:t>
      </w:r>
    </w:p>
    <w:p>
      <w:pPr>
        <w:spacing w:after="120"/>
      </w:pPr>
      <w:r>
        <w:rPr>
          <w:sz w:val="20"/>
          <w:szCs w:val="20"/>
        </w:rPr>
        <w:t xml:space="preserve">This is a current-state acknowledgement, not a feature inventory we expect you to populate per row. The single question that matters:</w:t>
      </w:r>
    </w:p>
    <w:p>
      <w:pPr>
        <w:spacing w:after="200" w:before="160"/>
      </w:pPr>
      <w:r>
        <w:rPr>
          <w:b/>
          <w:bCs/>
          <w:sz w:val="22"/>
          <w:szCs w:val="22"/>
        </w:rPr>
        <w:t xml:space="preserve">What does WhatsApp do for you today that the alternative (Teams or a custom field-staff app) would need to keep doing?</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5110"/>
      </w:tblGrid>
      <w:tr>
        <w:tc>
          <w:tcPr>
            <w:tcW w:type="dxa" w:w="15110"/>
            <w:tcBorders>
              <w:top w:val="single" w:color="BBBBBB" w:sz="4"/>
              <w:left w:val="single" w:color="BBBBBB" w:sz="4"/>
              <w:bottom w:val="single" w:color="BBBBBB" w:sz="4"/>
              <w:right w:val="single" w:color="BBBBBB" w:sz="4"/>
            </w:tcBorders>
            <w:shd w:fill="FFF2CC" w:val="clear"/>
            <w:tcMar>
              <w:top w:type="dxa" w:w="200"/>
              <w:left w:type="dxa" w:w="200"/>
              <w:bottom w:type="dxa" w:w="800"/>
              <w:right w:type="dxa" w:w="200"/>
            </w:tcMar>
          </w:tcPr>
          <w:p>
            <w:pPr>
              <w:spacing w:after="0"/>
            </w:pPr>
            <w:r>
              <w:rPr>
                <w:i/>
                <w:iCs/>
                <w:color w:val="888888"/>
                <w:sz w:val="18"/>
                <w:szCs w:val="18"/>
              </w:rPr>
              <w:t xml:space="preserve">Your answer here</w:t>
            </w:r>
          </w:p>
        </w:tc>
      </w:tr>
    </w:tbl>
    <w:p>
      <w:pPr>
        <w:pageBreakBefore/>
      </w:pPr>
      <w:r>
        <w:t xml:space="preserve"/>
      </w:r>
    </w:p>
    <w:p>
      <w:pPr>
        <w:pStyle w:val="Heading2"/>
        <w:spacing w:after="140" w:before="280"/>
      </w:pPr>
      <w:r>
        <w:rPr>
          <w:b/>
          <w:bCs/>
          <w:color w:val="1F4E79"/>
          <w:sz w:val="28"/>
          <w:szCs w:val="28"/>
        </w:rPr>
        <w:t xml:space="preserve">Part B — Capability ownership map</w:t>
      </w:r>
    </w:p>
    <w:p>
      <w:pPr>
        <w:spacing w:after="120"/>
      </w:pPr>
      <w:r>
        <w:rPr>
          <w:sz w:val="20"/>
          <w:szCs w:val="20"/>
        </w:rPr>
        <w:t xml:space="preserve">For each function, please tick which platforms handle it for you today. Where multiple platforms are ticked, that's a duplication candidate. Mark which platform you treat as the source of truth (one only) and the friction level for that function overall.</w:t>
      </w:r>
    </w:p>
    <w:p>
      <w:pPr>
        <w:spacing w:after="120"/>
      </w:pPr>
      <w:r>
        <w:rPr>
          <w:i/>
          <w:iCs/>
          <w:color w:val="555555"/>
          <w:sz w:val="20"/>
          <w:szCs w:val="20"/>
        </w:rPr>
        <w:t xml:space="preserve">This is the part of the document Kike asked for on the call: "It is quite possible that we are duplicating these functions in the different systems unintentionally." The grid makes it visible.</w:t>
      </w:r>
    </w:p>
    <w:p>
      <w:pPr>
        <w:pStyle w:val="Heading3"/>
        <w:spacing w:after="100" w:before="200"/>
      </w:pPr>
      <w:r>
        <w:rPr>
          <w:b/>
          <w:bCs/>
          <w:color w:val="1F4E79"/>
          <w:sz w:val="22"/>
          <w:szCs w:val="22"/>
        </w:rPr>
        <w:t xml:space="preserve">B.1 — Care delivery</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2900"/>
        <w:gridCol w:w="1000"/>
        <w:gridCol w:w="1000"/>
        <w:gridCol w:w="1000"/>
        <w:gridCol w:w="1000"/>
        <w:gridCol w:w="1000"/>
        <w:gridCol w:w="1000"/>
        <w:gridCol w:w="1000"/>
        <w:gridCol w:w="1000"/>
        <w:gridCol w:w="1000"/>
        <w:gridCol w:w="2000"/>
        <w:gridCol w:w="1210"/>
      </w:tblGrid>
      <w:tr>
        <w:trPr>
          <w:tblHeader/>
        </w:trPr>
        <w:tc>
          <w:tcPr>
            <w:tcW w:type="dxa" w:w="29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Function</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Nourish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Birdie</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EH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QBO</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Care Tutor</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Checks Direct</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M365 / SP</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PandaDoc</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H&amp;S Group</w:t>
            </w:r>
          </w:p>
        </w:tc>
        <w:tc>
          <w:tcPr>
            <w:tcW w:type="dxa" w:w="2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Source of truth (one only)</w:t>
            </w:r>
          </w:p>
        </w:tc>
        <w:tc>
          <w:tcPr>
            <w:tcW w:type="dxa" w:w="12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6"/>
                <w:szCs w:val="16"/>
              </w:rPr>
              <w:t xml:space="preserve">Friction (0–5)</w:t>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Rostering / scheduling visits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Care planning (per service user)</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Care notes during visits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Visit check-in / check-out (geo-verified)</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Medication recording (MAR)</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Risk assessments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Incident logging</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Safeguarding alerts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B.2 — Staff lifecycle</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2900"/>
        <w:gridCol w:w="1000"/>
        <w:gridCol w:w="1000"/>
        <w:gridCol w:w="1000"/>
        <w:gridCol w:w="1000"/>
        <w:gridCol w:w="1000"/>
        <w:gridCol w:w="1000"/>
        <w:gridCol w:w="1000"/>
        <w:gridCol w:w="1000"/>
        <w:gridCol w:w="1000"/>
        <w:gridCol w:w="2000"/>
        <w:gridCol w:w="1210"/>
      </w:tblGrid>
      <w:tr>
        <w:trPr>
          <w:tblHeader/>
        </w:trPr>
        <w:tc>
          <w:tcPr>
            <w:tcW w:type="dxa" w:w="29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Function</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Nourish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Birdie</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EH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QBO</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Care Tutor</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Checks Direct</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M365 / SP</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PandaDoc</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H&amp;S Group</w:t>
            </w:r>
          </w:p>
        </w:tc>
        <w:tc>
          <w:tcPr>
            <w:tcW w:type="dxa" w:w="2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Source of truth (one only)</w:t>
            </w:r>
          </w:p>
        </w:tc>
        <w:tc>
          <w:tcPr>
            <w:tcW w:type="dxa" w:w="12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6"/>
                <w:szCs w:val="16"/>
              </w:rPr>
              <w:t xml:space="preserve">Friction (0–5)</w:t>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HR master record (staff data)</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Recruitment / vacancies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Onboarding (workflow)</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Contract generation</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Contract e-signature (staff)</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DBS checks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Right-to-work checks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Annual leave tracking</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Time sheets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Payroll</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HMRC submissions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Pension auto-enrolment</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Leaver processing</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B.3 — Compliance and training</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2900"/>
        <w:gridCol w:w="1000"/>
        <w:gridCol w:w="1000"/>
        <w:gridCol w:w="1000"/>
        <w:gridCol w:w="1000"/>
        <w:gridCol w:w="1000"/>
        <w:gridCol w:w="1000"/>
        <w:gridCol w:w="1000"/>
        <w:gridCol w:w="1000"/>
        <w:gridCol w:w="1000"/>
        <w:gridCol w:w="2000"/>
        <w:gridCol w:w="1210"/>
      </w:tblGrid>
      <w:tr>
        <w:trPr>
          <w:tblHeader/>
        </w:trPr>
        <w:tc>
          <w:tcPr>
            <w:tcW w:type="dxa" w:w="29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Function</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Nourish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Birdie</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EH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QBO</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Care Tutor</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Checks Direct</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M365 / SP</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PandaDoc</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H&amp;S Group</w:t>
            </w:r>
          </w:p>
        </w:tc>
        <w:tc>
          <w:tcPr>
            <w:tcW w:type="dxa" w:w="2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Source of truth (one only)</w:t>
            </w:r>
          </w:p>
        </w:tc>
        <w:tc>
          <w:tcPr>
            <w:tcW w:type="dxa" w:w="12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6"/>
                <w:szCs w:val="16"/>
              </w:rPr>
              <w:t xml:space="preserve">Friction (0–5)</w:t>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Training delivery (the courses themselves)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Training records / matrix</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Certificate storage</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Mandatory training enrolment (per staff)</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Renewal / expiry tracking</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CQC compliance reporting</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Inspection record / audit trail</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B.4 — Finance</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2900"/>
        <w:gridCol w:w="1000"/>
        <w:gridCol w:w="1000"/>
        <w:gridCol w:w="1000"/>
        <w:gridCol w:w="1000"/>
        <w:gridCol w:w="1000"/>
        <w:gridCol w:w="1000"/>
        <w:gridCol w:w="1000"/>
        <w:gridCol w:w="1000"/>
        <w:gridCol w:w="1000"/>
        <w:gridCol w:w="2000"/>
        <w:gridCol w:w="1210"/>
      </w:tblGrid>
      <w:tr>
        <w:trPr>
          <w:tblHeader/>
        </w:trPr>
        <w:tc>
          <w:tcPr>
            <w:tcW w:type="dxa" w:w="29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Function</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Nourish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Birdie</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EH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QBO</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Care Tutor</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Checks Direct</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M365 / SP</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PandaDoc</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H&amp;S Group</w:t>
            </w:r>
          </w:p>
        </w:tc>
        <w:tc>
          <w:tcPr>
            <w:tcW w:type="dxa" w:w="2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Source of truth (one only)</w:t>
            </w:r>
          </w:p>
        </w:tc>
        <w:tc>
          <w:tcPr>
            <w:tcW w:type="dxa" w:w="12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6"/>
                <w:szCs w:val="16"/>
              </w:rPr>
              <w:t xml:space="preserve">Friction (0–5)</w:t>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Invoicing — private clients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Invoicing — local authority / commissioner</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Invoice e-signature (where required)</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Bookkeeping / accounts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Bank reconciliation</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Bills / supplier payments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Expenses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VAT submission</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B.5 — Communication</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2900"/>
        <w:gridCol w:w="1000"/>
        <w:gridCol w:w="1000"/>
        <w:gridCol w:w="1000"/>
        <w:gridCol w:w="1000"/>
        <w:gridCol w:w="1000"/>
        <w:gridCol w:w="1000"/>
        <w:gridCol w:w="1000"/>
        <w:gridCol w:w="1000"/>
        <w:gridCol w:w="1000"/>
        <w:gridCol w:w="2000"/>
        <w:gridCol w:w="1210"/>
      </w:tblGrid>
      <w:tr>
        <w:trPr>
          <w:tblHeader/>
        </w:trPr>
        <w:tc>
          <w:tcPr>
            <w:tcW w:type="dxa" w:w="29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Function</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Nourish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Birdie</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EH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QBO</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Care Tutor</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Checks Direct</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M365 / SP</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PandaDoc</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H&amp;S Group</w:t>
            </w:r>
          </w:p>
        </w:tc>
        <w:tc>
          <w:tcPr>
            <w:tcW w:type="dxa" w:w="2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Source of truth (one only)</w:t>
            </w:r>
          </w:p>
        </w:tc>
        <w:tc>
          <w:tcPr>
            <w:tcW w:type="dxa" w:w="12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6"/>
                <w:szCs w:val="16"/>
              </w:rPr>
              <w:t xml:space="preserve">Friction (0–5)</w:t>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Office staff internal comms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Field staff internal comms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Family / next-of-kin updates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Internal news / announcements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Inquiry triage (email, calls)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Visit reviews / feedback collection</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3"/>
        <w:spacing w:after="100" w:before="200"/>
      </w:pPr>
      <w:r>
        <w:rPr>
          <w:b/>
          <w:bCs/>
          <w:color w:val="1F4E79"/>
          <w:sz w:val="22"/>
          <w:szCs w:val="22"/>
        </w:rPr>
        <w:t xml:space="preserve">B.6 — Documents</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2900"/>
        <w:gridCol w:w="1000"/>
        <w:gridCol w:w="1000"/>
        <w:gridCol w:w="1000"/>
        <w:gridCol w:w="1000"/>
        <w:gridCol w:w="1000"/>
        <w:gridCol w:w="1000"/>
        <w:gridCol w:w="1000"/>
        <w:gridCol w:w="1000"/>
        <w:gridCol w:w="1000"/>
        <w:gridCol w:w="2000"/>
        <w:gridCol w:w="1210"/>
      </w:tblGrid>
      <w:tr>
        <w:trPr>
          <w:tblHeader/>
        </w:trPr>
        <w:tc>
          <w:tcPr>
            <w:tcW w:type="dxa" w:w="29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Function</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Nourish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Birdie</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EH</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QBO</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Care Tutor</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Checks Direct</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M365 / SP</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PandaDoc</w:t>
            </w:r>
          </w:p>
        </w:tc>
        <w:tc>
          <w:tcPr>
            <w:tcW w:type="dxa" w:w="1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4"/>
                <w:szCs w:val="14"/>
              </w:rPr>
              <w:t xml:space="preserve">H&amp;S Group</w:t>
            </w:r>
          </w:p>
        </w:tc>
        <w:tc>
          <w:tcPr>
            <w:tcW w:type="dxa" w:w="20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6"/>
                <w:szCs w:val="16"/>
              </w:rPr>
              <w:t xml:space="preserve">Source of truth (one only)</w:t>
            </w:r>
          </w:p>
        </w:tc>
        <w:tc>
          <w:tcPr>
            <w:tcW w:type="dxa" w:w="12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center"/>
            </w:pPr>
            <w:r>
              <w:rPr>
                <w:b/>
                <w:bCs/>
                <w:color w:val="FFFFFF"/>
                <w:sz w:val="16"/>
                <w:szCs w:val="16"/>
              </w:rPr>
              <w:t xml:space="preserve">Friction (0–5)</w:t>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Staff document storage (active)</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Staff document storage (leavers, retained)</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Service user document storage</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Client contracts (e-signed)</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29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pPr>
            <w:r>
              <w:rPr>
                <w:sz w:val="18"/>
                <w:szCs w:val="18"/>
              </w:rPr>
              <w:t xml:space="preserve">Client portal (care notes for families)</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1000"/>
            <w:tcBorders>
              <w:top w:val="single" w:color="BBBBBB" w:sz="4"/>
              <w:left w:val="single" w:color="BBBBBB" w:sz="4"/>
              <w:bottom w:val="single" w:color="BBBBBB" w:sz="4"/>
              <w:right w:val="single" w:color="BBBBBB" w:sz="4"/>
            </w:tcBorders>
            <w:shd w:fill="F4F8FB" w:val="clear"/>
            <w:tcMar>
              <w:top w:type="dxa" w:w="100"/>
              <w:left w:type="dxa" w:w="140"/>
              <w:bottom w:type="dxa" w:w="100"/>
              <w:right w:type="dxa" w:w="140"/>
            </w:tcMar>
            <w:vAlign w:val="top"/>
          </w:tcPr>
          <w:p>
            <w:pPr>
              <w:spacing w:after="0"/>
              <w:jc w:val="center"/>
            </w:pPr>
            <w:r>
              <w:rPr>
                <w:sz w:val="18"/>
                <w:szCs w:val="18"/>
              </w:rPr>
              <w:t xml:space="preserve"> </w:t>
            </w:r>
          </w:p>
        </w:tc>
        <w:tc>
          <w:tcPr>
            <w:tcW w:type="dxa" w:w="200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c>
          <w:tcPr>
            <w:tcW w:type="dxa" w:w="12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2"/>
        <w:spacing w:after="140" w:before="280"/>
      </w:pPr>
      <w:r>
        <w:rPr>
          <w:b/>
          <w:bCs/>
          <w:color w:val="1F4E79"/>
          <w:sz w:val="28"/>
          <w:szCs w:val="28"/>
        </w:rPr>
        <w:t xml:space="preserve">Part C — Pain points and what would help most</w:t>
      </w:r>
    </w:p>
    <w:p>
      <w:pPr>
        <w:spacing w:after="120"/>
      </w:pPr>
      <w:r>
        <w:rPr>
          <w:sz w:val="20"/>
          <w:szCs w:val="20"/>
        </w:rPr>
        <w:t xml:space="preserve">Open-ended. Write what comes to mind. The shadowing visit will surface the rest. None of these need long answers; a few lines is fine.</w:t>
      </w:r>
    </w:p>
    <w:p>
      <w:pPr>
        <w:spacing w:after="120" w:before="200"/>
      </w:pPr>
      <w:r>
        <w:rPr>
          <w:b/>
          <w:bCs/>
          <w:sz w:val="22"/>
          <w:szCs w:val="22"/>
        </w:rPr>
        <w:t xml:space="preserve">C.1 — Where does the most reactive time go? On a Tuesday morning when something breaks, what is the chain of events from notice to resolution? Whose phone rings, whose desk does it land on, what gets re-typed?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5110"/>
      </w:tblGrid>
      <w:tr>
        <w:tc>
          <w:tcPr>
            <w:tcW w:type="dxa" w:w="15110"/>
            <w:tcBorders>
              <w:top w:val="single" w:color="BBBBBB" w:sz="4"/>
              <w:left w:val="single" w:color="BBBBBB" w:sz="4"/>
              <w:bottom w:val="single" w:color="BBBBBB" w:sz="4"/>
              <w:right w:val="single" w:color="BBBBBB" w:sz="4"/>
            </w:tcBorders>
            <w:shd w:fill="FFF2CC" w:val="clear"/>
            <w:tcMar>
              <w:top w:type="dxa" w:w="160"/>
              <w:left w:type="dxa" w:w="200"/>
              <w:bottom w:type="dxa" w:w="600"/>
              <w:right w:type="dxa" w:w="200"/>
            </w:tcMar>
          </w:tcPr>
          <w:p>
            <w:pPr>
              <w:spacing w:after="0"/>
            </w:pPr>
            <w:r>
              <w:rPr>
                <w:i/>
                <w:iCs/>
                <w:color w:val="888888"/>
                <w:sz w:val="18"/>
                <w:szCs w:val="18"/>
              </w:rPr>
              <w:t xml:space="preserve">Your answer here</w:t>
            </w:r>
          </w:p>
        </w:tc>
      </w:tr>
    </w:tbl>
    <w:p>
      <w:pPr>
        <w:spacing w:after="120" w:before="200"/>
      </w:pPr>
      <w:r>
        <w:rPr>
          <w:b/>
          <w:bCs/>
          <w:sz w:val="22"/>
          <w:szCs w:val="22"/>
        </w:rPr>
        <w:t xml:space="preserve">C.2 — What does the end-of-month routine look like? The downloads, the uploads, the reconciliations, the pieces that always take longer than expected.</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5110"/>
      </w:tblGrid>
      <w:tr>
        <w:tc>
          <w:tcPr>
            <w:tcW w:type="dxa" w:w="15110"/>
            <w:tcBorders>
              <w:top w:val="single" w:color="BBBBBB" w:sz="4"/>
              <w:left w:val="single" w:color="BBBBBB" w:sz="4"/>
              <w:bottom w:val="single" w:color="BBBBBB" w:sz="4"/>
              <w:right w:val="single" w:color="BBBBBB" w:sz="4"/>
            </w:tcBorders>
            <w:shd w:fill="FFF2CC" w:val="clear"/>
            <w:tcMar>
              <w:top w:type="dxa" w:w="160"/>
              <w:left w:type="dxa" w:w="200"/>
              <w:bottom w:type="dxa" w:w="600"/>
              <w:right w:type="dxa" w:w="200"/>
            </w:tcMar>
          </w:tcPr>
          <w:p>
            <w:pPr>
              <w:spacing w:after="0"/>
            </w:pPr>
            <w:r>
              <w:rPr>
                <w:i/>
                <w:iCs/>
                <w:color w:val="888888"/>
                <w:sz w:val="18"/>
                <w:szCs w:val="18"/>
              </w:rPr>
              <w:t xml:space="preserve">Your answer here</w:t>
            </w:r>
          </w:p>
        </w:tc>
      </w:tr>
    </w:tbl>
    <w:p>
      <w:pPr>
        <w:spacing w:after="120" w:before="200"/>
      </w:pPr>
      <w:r>
        <w:rPr>
          <w:b/>
          <w:bCs/>
          <w:sz w:val="22"/>
          <w:szCs w:val="22"/>
        </w:rPr>
        <w:t xml:space="preserve">C.3 — What does CQC inspection prep involve, and where does it bite? What is already in place by the time you hear from CQC, and what gets created in a hurry once they call?</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5110"/>
      </w:tblGrid>
      <w:tr>
        <w:tc>
          <w:tcPr>
            <w:tcW w:type="dxa" w:w="15110"/>
            <w:tcBorders>
              <w:top w:val="single" w:color="BBBBBB" w:sz="4"/>
              <w:left w:val="single" w:color="BBBBBB" w:sz="4"/>
              <w:bottom w:val="single" w:color="BBBBBB" w:sz="4"/>
              <w:right w:val="single" w:color="BBBBBB" w:sz="4"/>
            </w:tcBorders>
            <w:shd w:fill="FFF2CC" w:val="clear"/>
            <w:tcMar>
              <w:top w:type="dxa" w:w="160"/>
              <w:left w:type="dxa" w:w="200"/>
              <w:bottom w:type="dxa" w:w="600"/>
              <w:right w:type="dxa" w:w="200"/>
            </w:tcMar>
          </w:tcPr>
          <w:p>
            <w:pPr>
              <w:spacing w:after="0"/>
            </w:pPr>
            <w:r>
              <w:rPr>
                <w:i/>
                <w:iCs/>
                <w:color w:val="888888"/>
                <w:sz w:val="18"/>
                <w:szCs w:val="18"/>
              </w:rPr>
              <w:t xml:space="preserve">Your answer here</w:t>
            </w:r>
          </w:p>
        </w:tc>
      </w:tr>
    </w:tbl>
    <w:p>
      <w:pPr>
        <w:spacing w:after="120" w:before="200"/>
      </w:pPr>
      <w:r>
        <w:rPr>
          <w:b/>
          <w:bCs/>
          <w:sz w:val="22"/>
          <w:szCs w:val="22"/>
        </w:rPr>
        <w:t xml:space="preserve">C.4 — If you could wave a wand and one of these problems disappeared tomorrow, which one?</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5110"/>
      </w:tblGrid>
      <w:tr>
        <w:tc>
          <w:tcPr>
            <w:tcW w:type="dxa" w:w="15110"/>
            <w:tcBorders>
              <w:top w:val="single" w:color="BBBBBB" w:sz="4"/>
              <w:left w:val="single" w:color="BBBBBB" w:sz="4"/>
              <w:bottom w:val="single" w:color="BBBBBB" w:sz="4"/>
              <w:right w:val="single" w:color="BBBBBB" w:sz="4"/>
            </w:tcBorders>
            <w:shd w:fill="FFF2CC" w:val="clear"/>
            <w:tcMar>
              <w:top w:type="dxa" w:w="160"/>
              <w:left w:type="dxa" w:w="200"/>
              <w:bottom w:type="dxa" w:w="500"/>
              <w:right w:type="dxa" w:w="200"/>
            </w:tcMar>
          </w:tcPr>
          <w:p>
            <w:pPr>
              <w:spacing w:after="0"/>
            </w:pPr>
            <w:r>
              <w:rPr>
                <w:i/>
                <w:iCs/>
                <w:color w:val="888888"/>
                <w:sz w:val="18"/>
                <w:szCs w:val="18"/>
              </w:rPr>
              <w:t xml:space="preserve">Your answer here</w:t>
            </w:r>
          </w:p>
        </w:tc>
      </w:tr>
    </w:tbl>
    <w:p>
      <w:pPr>
        <w:spacing w:after="120" w:before="200"/>
      </w:pPr>
      <w:r>
        <w:rPr>
          <w:b/>
          <w:bCs/>
          <w:sz w:val="22"/>
          <w:szCs w:val="22"/>
        </w:rPr>
        <w:t xml:space="preserve">C.5 — What would the registered managers say if asked the same question? The answer is often different from what the principals would say. Both are useful.</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15110"/>
      </w:tblGrid>
      <w:tr>
        <w:tc>
          <w:tcPr>
            <w:tcW w:type="dxa" w:w="15110"/>
            <w:tcBorders>
              <w:top w:val="single" w:color="BBBBBB" w:sz="4"/>
              <w:left w:val="single" w:color="BBBBBB" w:sz="4"/>
              <w:bottom w:val="single" w:color="BBBBBB" w:sz="4"/>
              <w:right w:val="single" w:color="BBBBBB" w:sz="4"/>
            </w:tcBorders>
            <w:shd w:fill="FFF2CC" w:val="clear"/>
            <w:tcMar>
              <w:top w:type="dxa" w:w="160"/>
              <w:left w:type="dxa" w:w="200"/>
              <w:bottom w:type="dxa" w:w="500"/>
              <w:right w:type="dxa" w:w="200"/>
            </w:tcMar>
          </w:tcPr>
          <w:p>
            <w:pPr>
              <w:spacing w:after="0"/>
            </w:pPr>
            <w:r>
              <w:rPr>
                <w:i/>
                <w:iCs/>
                <w:color w:val="888888"/>
                <w:sz w:val="18"/>
                <w:szCs w:val="18"/>
              </w:rPr>
              <w:t xml:space="preserve">Your answer here</w:t>
            </w:r>
          </w:p>
        </w:tc>
      </w:tr>
    </w:tbl>
    <w:p>
      <w:pPr>
        <w:pageBreakBefore/>
      </w:pPr>
      <w:r>
        <w:t xml:space="preserve"/>
      </w:r>
    </w:p>
    <w:p>
      <w:pPr>
        <w:pStyle w:val="Heading2"/>
        <w:spacing w:after="140" w:before="280"/>
      </w:pPr>
      <w:r>
        <w:rPr>
          <w:b/>
          <w:bCs/>
          <w:color w:val="1F4E79"/>
          <w:sz w:val="28"/>
          <w:szCs w:val="28"/>
        </w:rPr>
        <w:t xml:space="preserve">Part D — Pain ranking</w:t>
      </w:r>
    </w:p>
    <w:p>
      <w:pPr>
        <w:spacing w:after="120"/>
      </w:pPr>
      <w:r>
        <w:rPr>
          <w:sz w:val="20"/>
          <w:szCs w:val="20"/>
        </w:rPr>
        <w:t xml:space="preserve">These are the pain points that came up on the call. We have listed who raised each one and our rough sense of effort to fix. The rightmost column is for you to rank them by what would make the biggest difference to your business in the next 6 to 12 months. 1 = most important, 10 = least.</w:t>
      </w:r>
    </w:p>
    <w:tbl>
      <w:tblPr>
        <w:tblW w:type="dxa" w:w="15110"/>
        <w:tblBorders>
          <w:top w:val="single" w:color="auto" w:sz="4"/>
          <w:left w:val="single" w:color="auto" w:sz="4"/>
          <w:bottom w:val="single" w:color="auto" w:sz="4"/>
          <w:right w:val="single" w:color="auto" w:sz="4"/>
          <w:insideH w:val="single" w:color="auto" w:sz="4"/>
          <w:insideV w:val="single" w:color="auto" w:sz="4"/>
        </w:tblBorders>
      </w:tblPr>
      <w:tblGrid>
        <w:gridCol w:w="4500"/>
        <w:gridCol w:w="2500"/>
        <w:gridCol w:w="2500"/>
        <w:gridCol w:w="5610"/>
      </w:tblGrid>
      <w:tr>
        <w:trPr>
          <w:tblHeader/>
        </w:trPr>
        <w:tc>
          <w:tcPr>
            <w:tcW w:type="dxa" w:w="4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Pain point</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Who raised it</w:t>
            </w:r>
          </w:p>
        </w:tc>
        <w:tc>
          <w:tcPr>
            <w:tcW w:type="dxa" w:w="250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Rough effort to fix</w:t>
            </w:r>
          </w:p>
        </w:tc>
        <w:tc>
          <w:tcPr>
            <w:tcW w:type="dxa" w:w="5610"/>
            <w:tcBorders>
              <w:top w:val="single" w:color="1F4E79" w:sz="6"/>
              <w:left w:val="single" w:color="BBBBBB" w:sz="4"/>
              <w:bottom w:val="single" w:color="1F4E79" w:sz="6"/>
              <w:right w:val="single" w:color="BBBBBB" w:sz="4"/>
            </w:tcBorders>
            <w:shd w:fill="1F4E79" w:val="clear"/>
            <w:tcMar>
              <w:top w:type="dxa" w:w="100"/>
              <w:left w:type="dxa" w:w="140"/>
              <w:bottom w:type="dxa" w:w="100"/>
              <w:right w:type="dxa" w:w="140"/>
            </w:tcMar>
            <w:vAlign w:val="center"/>
          </w:tcPr>
          <w:p>
            <w:pPr>
              <w:jc w:val="left"/>
            </w:pPr>
            <w:r>
              <w:rPr>
                <w:b/>
                <w:bCs/>
                <w:color w:val="FFFFFF"/>
                <w:sz w:val="18"/>
                <w:szCs w:val="18"/>
              </w:rPr>
              <w:t xml:space="preserve">Rank 1–10 by importance to you</w:t>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Manual CSV download from Nourish to Employment Hero for payroll</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Joseph (finance)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Low</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Employment Hero ↔ QuickBooks integration broken, needs reconnection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Joseph, Ibukun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Low</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Certificates from Care Tutor / Health and Safety Group manually downloaded and uploaded to Nourish training matrix</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Oye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Low to medium</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WhatsApp as the staff comms layer (governance, offboarding risk)</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Ibukun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Medium (Teams Frontline rollout)</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No single point of access for staff (rota, training, leave, payslip in different systems)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Kike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High (this is the intranet)</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No single point of access for service users / families (rota, invoices, care notes, messaging)</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Kike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High (this is the family portal)</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Documents not consistently routed to the right SharePoint folder</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Ibukun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Medium</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AI call triage for incoming calls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Joseph</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Medium (also pitched by competitor)</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Visit feedback capture from carers in the field, possibly leading to public reviews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Joseph</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Medium</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Underused Microsoft 365 (paying for Business tier, using a fraction)</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David's observation, Ibukun nodded</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Audit only</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r>
        <w:tc>
          <w:tcPr>
            <w:tcW w:type="dxa" w:w="4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Possibly paying for overlapping features across the eight systems</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Kike</w:t>
            </w:r>
          </w:p>
        </w:tc>
        <w:tc>
          <w:tcPr>
            <w:tcW w:type="dxa" w:w="2500"/>
            <w:tcBorders>
              <w:top w:val="single" w:color="BBBBBB" w:sz="4"/>
              <w:left w:val="single" w:color="BBBBBB" w:sz="4"/>
              <w:bottom w:val="single" w:color="BBBBBB" w:sz="4"/>
              <w:right w:val="single" w:color="BBBBBB" w:sz="4"/>
            </w:tcBorders>
            <w:tcMar>
              <w:top w:type="dxa" w:w="100"/>
              <w:left w:type="dxa" w:w="140"/>
              <w:bottom w:type="dxa" w:w="100"/>
              <w:right w:type="dxa" w:w="140"/>
            </w:tcMar>
            <w:vAlign w:val="top"/>
          </w:tcPr>
          <w:p>
            <w:pPr>
              <w:spacing w:after="0" w:before="0"/>
            </w:pPr>
            <w:r>
              <w:rPr>
                <w:sz w:val="18"/>
                <w:szCs w:val="18"/>
              </w:rPr>
              <w:t xml:space="preserve">Audit only</w:t>
            </w:r>
          </w:p>
        </w:tc>
        <w:tc>
          <w:tcPr>
            <w:tcW w:type="dxa" w:w="5610"/>
            <w:tcBorders>
              <w:top w:val="single" w:color="BBBBBB" w:sz="4"/>
              <w:left w:val="single" w:color="BBBBBB" w:sz="4"/>
              <w:bottom w:val="single" w:color="BBBBBB" w:sz="4"/>
              <w:right w:val="single" w:color="BBBBBB" w:sz="4"/>
            </w:tcBorders>
            <w:shd w:fill="FFF2CC" w:val="clear"/>
            <w:tcMar>
              <w:top w:type="dxa" w:w="100"/>
              <w:left w:type="dxa" w:w="140"/>
              <w:bottom w:type="dxa" w:w="100"/>
              <w:right w:type="dxa" w:w="140"/>
            </w:tcMar>
            <w:vAlign w:val="top"/>
          </w:tcPr>
          <w:p>
            <w:pPr>
              <w:spacing w:after="0" w:before="0"/>
            </w:pPr>
            <w:r>
              <w:rPr>
                <w:sz w:val="18"/>
                <w:szCs w:val="18"/>
              </w:rPr>
              <w:t xml:space="preserve"/>
            </w:r>
          </w:p>
        </w:tc>
      </w:tr>
    </w:tbl>
    <w:p>
      <w:pPr>
        <w:pageBreakBefore/>
      </w:pPr>
      <w:r>
        <w:t xml:space="preserve"/>
      </w:r>
    </w:p>
    <w:p>
      <w:pPr>
        <w:pStyle w:val="Heading2"/>
        <w:spacing w:after="140" w:before="280"/>
      </w:pPr>
      <w:r>
        <w:rPr>
          <w:b/>
          <w:bCs/>
          <w:color w:val="1F4E79"/>
          <w:sz w:val="28"/>
          <w:szCs w:val="28"/>
        </w:rPr>
        <w:t xml:space="preserve">Three open questions for you</w:t>
      </w:r>
    </w:p>
    <w:p>
      <w:pPr>
        <w:spacing w:after="120"/>
      </w:pPr>
      <w:r>
        <w:rPr>
          <w:sz w:val="20"/>
          <w:szCs w:val="20"/>
        </w:rPr>
        <w:t xml:space="preserve">These don't go in any of the tables above. They are things that came up on the call which I would value a written answer on before we meet next.</w:t>
      </w:r>
    </w:p>
    <w:p>
      <w:pPr>
        <w:pStyle w:val="ListParagraph"/>
        <w:numPr>
          <w:ilvl w:val="0"/>
          <w:numId w:val="2"/>
        </w:numPr>
        <w:spacing w:after="100"/>
      </w:pPr>
      <w:r>
        <w:rPr>
          <w:b/>
          <w:bCs/>
          <w:sz w:val="22"/>
          <w:szCs w:val="22"/>
        </w:rPr>
        <w:t xml:space="preserve">Branches and scale.</w:t>
      </w:r>
      <w:r>
        <w:rPr>
          <w:sz w:val="22"/>
          <w:szCs w:val="22"/>
        </w:rPr>
        <w:t xml:space="preserve"> You mentioned multiple branches and growth ambition. Could you share rough numbers? How many branches today, how many staff per branch, what is the 12 to 24 month growth picture? This affects whether we design for a single tenant or a multi-branch structure from day one.</w:t>
      </w:r>
    </w:p>
    <w:p>
      <w:pPr>
        <w:pStyle w:val="ListParagraph"/>
        <w:numPr>
          <w:ilvl w:val="0"/>
          <w:numId w:val="2"/>
        </w:numPr>
        <w:spacing w:after="100"/>
      </w:pPr>
      <w:r>
        <w:rPr>
          <w:b/>
          <w:bCs/>
          <w:sz w:val="22"/>
          <w:szCs w:val="22"/>
        </w:rPr>
        <w:t xml:space="preserve">CQC inspection rating and timing.</w:t>
      </w:r>
      <w:r>
        <w:rPr>
          <w:sz w:val="22"/>
          <w:szCs w:val="22"/>
        </w:rPr>
        <w:t xml:space="preserve"> What is your current CQC rating and when is the next inspection expected? The CQC evidence pack we showed in the simulation is the kind of artefact most useful in a pre-inspection or post-inspection window.</w:t>
      </w:r>
    </w:p>
    <w:p>
      <w:pPr>
        <w:pStyle w:val="ListParagraph"/>
        <w:numPr>
          <w:ilvl w:val="0"/>
          <w:numId w:val="2"/>
        </w:numPr>
        <w:spacing w:after="360"/>
      </w:pPr>
      <w:r>
        <w:rPr>
          <w:b/>
          <w:bCs/>
          <w:sz w:val="22"/>
          <w:szCs w:val="22"/>
        </w:rPr>
        <w:t xml:space="preserve">The intranet vision Kike described.</w:t>
      </w:r>
      <w:r>
        <w:rPr>
          <w:sz w:val="22"/>
          <w:szCs w:val="22"/>
        </w:rPr>
        <w:t xml:space="preserve"> Is this funded? Is it a 2026 capital project, a 2027 plan, or an aspiration without a budget yet? This is one of the most strategic things we discussed and it affects everything that comes after.</w:t>
      </w:r>
    </w:p>
    <w:p>
      <w:pPr>
        <w:pStyle w:val="Heading2"/>
        <w:spacing w:after="140" w:before="280"/>
      </w:pPr>
      <w:r>
        <w:rPr>
          <w:b/>
          <w:bCs/>
          <w:color w:val="1F4E79"/>
          <w:sz w:val="28"/>
          <w:szCs w:val="28"/>
        </w:rPr>
        <w:t xml:space="preserve">What we will do with this when it comes back</w:t>
      </w:r>
    </w:p>
    <w:p>
      <w:pPr>
        <w:pStyle w:val="ListParagraph"/>
        <w:numPr>
          <w:ilvl w:val="0"/>
          <w:numId w:val="3"/>
        </w:numPr>
        <w:spacing w:after="100"/>
      </w:pPr>
      <w:r>
        <w:rPr>
          <w:b/>
          <w:bCs/>
          <w:sz w:val="22"/>
          <w:szCs w:val="22"/>
        </w:rPr>
        <w:t xml:space="preserve">Cross-check Part B for duplications. </w:t>
      </w:r>
      <w:r>
        <w:rPr>
          <w:sz w:val="22"/>
          <w:szCs w:val="22"/>
        </w:rPr>
        <w:t xml:space="preserve">Wherever a single function has multiple platforms ticked, we will bring it back to you with a recommendation: keep both, consolidate to one, or rethink the boundary. We will not push for any change without showing you the trade-off.</w:t>
      </w:r>
    </w:p>
    <w:p>
      <w:pPr>
        <w:pStyle w:val="ListParagraph"/>
        <w:numPr>
          <w:ilvl w:val="0"/>
          <w:numId w:val="3"/>
        </w:numPr>
        <w:spacing w:after="100"/>
      </w:pPr>
      <w:r>
        <w:rPr>
          <w:b/>
          <w:bCs/>
          <w:sz w:val="22"/>
          <w:szCs w:val="22"/>
        </w:rPr>
        <w:t xml:space="preserve">Use Part A's friction column to prioritise. </w:t>
      </w:r>
      <w:r>
        <w:rPr>
          <w:sz w:val="22"/>
          <w:szCs w:val="22"/>
        </w:rPr>
        <w:t xml:space="preserve">The features you marked 4 or 5 are the first-wave integration targets, regardless of which platform owns them.</w:t>
      </w:r>
    </w:p>
    <w:p>
      <w:pPr>
        <w:pStyle w:val="ListParagraph"/>
        <w:numPr>
          <w:ilvl w:val="0"/>
          <w:numId w:val="3"/>
        </w:numPr>
        <w:spacing w:after="200"/>
      </w:pPr>
      <w:r>
        <w:rPr>
          <w:b/>
          <w:bCs/>
          <w:sz w:val="22"/>
          <w:szCs w:val="22"/>
        </w:rPr>
        <w:t xml:space="preserve">Use Part C and Part D as the agenda for the shadowing visit. </w:t>
      </w:r>
      <w:r>
        <w:rPr>
          <w:sz w:val="22"/>
          <w:szCs w:val="22"/>
        </w:rPr>
        <w:t xml:space="preserve">Whatever you write there is what we will watch for in person.</w:t>
      </w:r>
    </w:p>
    <w:p>
      <w:pPr>
        <w:spacing w:after="120"/>
      </w:pPr>
      <w:r>
        <w:rPr>
          <w:i/>
          <w:iCs/>
          <w:sz w:val="20"/>
          <w:szCs w:val="20"/>
        </w:rPr>
        <w:t xml:space="preserve">This document is yours to edit, comment on, redact, or extend. Feel free to add platforms we missed, columns we missed, or whole sections we should have asked about.</w:t>
      </w:r>
    </w:p>
    <w:p>
      <w:pPr>
        <w:spacing w:after="0" w:before="240"/>
      </w:pPr>
      <w:r>
        <w:rPr>
          <w:color w:val="555555"/>
          <w:sz w:val="20"/>
          <w:szCs w:val="20"/>
        </w:rPr>
        <w:t xml:space="preserve">David Osho · Appnable</w:t>
      </w:r>
    </w:p>
    <w:sectPr>
      <w:headerReference w:type="default" r:id="rId7"/>
      <w:footerReference w:type="default" r:id="rId8"/>
      <w:pgSz w:w="16838" w:h="11906" w:orient="landscape"/>
      <w:pgMar w:top="1080" w:right="864" w:bottom="108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15110"/>
      </w:tabs>
      <w:jc w:val="left"/>
    </w:pPr>
    <w:r>
      <w:rPr>
        <w:color w:val="808080"/>
        <w:sz w:val="16"/>
        <w:szCs w:val="16"/>
      </w:rPr>
      <w:t xml:space="preserve">Working document · Appnable for Delore Care · 9 May 2026</w:t>
    </w:r>
    <w:r>
      <w:rPr>
        <w:color w:val="808080"/>
        <w:sz w:val="16"/>
        <w:szCs w:val="16"/>
      </w:rPr>
      <w:t xml:space="preserve">		Page </w:t>
    </w:r>
    <w:r>
      <w:rPr>
        <w:color w:val="808080"/>
        <w:sz w:val="16"/>
        <w:szCs w:val="16"/>
      </w:rPr>
      <w:fldChar w:fldCharType="begin"/>
      <w:instrText xml:space="preserve">PAGE</w:instrText>
      <w:fldChar w:fldCharType="separate"/>
      <w:fldChar w:fldCharType="end"/>
    </w:r>
    <w:r>
      <w:rPr>
        <w:color w:val="808080"/>
        <w:sz w:val="16"/>
        <w:szCs w:val="16"/>
      </w:rPr>
      <w:t xml:space="preserve"> of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BBBBB" w:sz="4" w:space="4"/>
      </w:pBdr>
      <w:jc w:val="right"/>
    </w:pPr>
    <w:r>
      <w:rPr>
        <w:color w:val="808080"/>
        <w:sz w:val="16"/>
        <w:szCs w:val="16"/>
      </w:rPr>
      <w:t xml:space="preserve">Delore Care · Feature inventory and capability map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4E79"/>
      <w:sz w:val="36"/>
      <w:szCs w:val="36"/>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1F4E7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Delore Care — Feature inventory and capability map</dc:title>
  <dc:creator>Appnable</dc:creator>
  <dc:description>Working discovery document, v1.1</dc:description>
  <cp:lastModifiedBy>Un-named</cp:lastModifiedBy>
  <cp:revision>1</cp:revision>
  <dcterms:created xsi:type="dcterms:W3CDTF">2026-05-08T16:47:40.713Z</dcterms:created>
  <dcterms:modified xsi:type="dcterms:W3CDTF">2026-05-08T16:47:40.728Z</dcterms:modified>
</cp:coreProperties>
</file>

<file path=docProps/custom.xml><?xml version="1.0" encoding="utf-8"?>
<Properties xmlns="http://schemas.openxmlformats.org/officeDocument/2006/custom-properties" xmlns:vt="http://schemas.openxmlformats.org/officeDocument/2006/docPropsVTypes"/>
</file>